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Rozhodnutí o poskytnutí podpory</w:t>
      </w: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ff0000"/>
        </w:rPr>
      </w:pPr>
      <w:bookmarkStart w:colFirst="0" w:colLast="0" w:name="_heading=h.clrtn62vi97j" w:id="0"/>
      <w:bookmarkEnd w:id="0"/>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ff0000"/>
        </w:rPr>
      </w:pPr>
      <w:bookmarkStart w:colFirst="0" w:colLast="0" w:name="_heading=h.gjdgxs" w:id="1"/>
      <w:bookmarkEnd w:id="1"/>
      <w:r w:rsidDel="00000000" w:rsidR="00000000" w:rsidRPr="00000000">
        <w:rPr>
          <w:rFonts w:ascii="Calibri" w:cs="Calibri" w:eastAsia="Calibri" w:hAnsi="Calibri"/>
          <w:b w:val="1"/>
          <w:color w:val="ff0000"/>
          <w:rtl w:val="0"/>
        </w:rPr>
        <w:t xml:space="preserve">Poskytovatel informuje, že ke dni 24.2.2023 byl do článku 4 Specifické podmínky Rozhodnutí o poskytnutí podpory přidán nový odstavec doplňující článek 17 Všeobecných podmínek.</w:t>
      </w:r>
    </w:p>
    <w:p w:rsidR="00000000" w:rsidDel="00000000" w:rsidP="00000000" w:rsidRDefault="00000000" w:rsidRPr="00000000" w14:paraId="00000004">
      <w:pPr>
        <w:rPr>
          <w:rFonts w:ascii="Calibri" w:cs="Calibri" w:eastAsia="Calibri" w:hAnsi="Calibri"/>
          <w:b w:val="1"/>
          <w:color w:val="ff0000"/>
        </w:rPr>
      </w:pPr>
      <w:bookmarkStart w:colFirst="0" w:colLast="0" w:name="_heading=h.iggh2jz9duus" w:id="2"/>
      <w:bookmarkEnd w:id="2"/>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jako poskytovatel účelové podpory (dále jen „poskytovatel“) na straně jedné,</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b w:val="1"/>
          <w:rtl w:val="0"/>
        </w:rPr>
        <w:t xml:space="preserve">Rozhodnutí o poskytnutí účelové podpory formou dotace z výdajů státního rozpočtu na výzkum, vývoj a inovace na řešení části programového projektu č. </w:t>
      </w:r>
      <w:r w:rsidDel="00000000" w:rsidR="00000000" w:rsidRPr="00000000">
        <w:rPr>
          <w:rFonts w:ascii="Calibri" w:cs="Calibri" w:eastAsia="Calibri" w:hAnsi="Calibri"/>
          <w:b w:val="1"/>
          <w:highlight w:val="yellow"/>
          <w:rtl w:val="0"/>
        </w:rPr>
        <w:t xml:space="preserve">XXXX</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rtl w:val="0"/>
        </w:rPr>
        <w:t xml:space="preserve">(dále jen „Rozhodnutí“)</w:t>
      </w:r>
    </w:p>
    <w:p w:rsidR="00000000" w:rsidDel="00000000" w:rsidP="00000000" w:rsidRDefault="00000000" w:rsidRPr="00000000" w14:paraId="00000010">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highlight w:val="yellow"/>
          <w:rtl w:val="0"/>
        </w:rPr>
        <w:t xml:space="preserve">[organizaci]</w:t>
      </w:r>
      <w:r w:rsidDel="00000000" w:rsidR="00000000" w:rsidRPr="00000000">
        <w:rPr>
          <w:rtl w:val="0"/>
        </w:rPr>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se sídlem XXXXXXXX</w:t>
      </w:r>
      <w:r w:rsidDel="00000000" w:rsidR="00000000" w:rsidRPr="00000000">
        <w:rPr>
          <w:rtl w:val="0"/>
        </w:rPr>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IČO: XXXXXXXX, DIČ: </w:t>
      </w:r>
      <w:r w:rsidDel="00000000" w:rsidR="00000000" w:rsidRPr="00000000">
        <w:rPr>
          <w:rFonts w:ascii="Calibri" w:cs="Calibri" w:eastAsia="Calibri" w:hAnsi="Calibri"/>
          <w:b w:val="1"/>
          <w:highlight w:val="yellow"/>
          <w:rtl w:val="0"/>
        </w:rPr>
        <w:t xml:space="preserve">XXXXXXXXXX</w:t>
      </w:r>
      <w:r w:rsidDel="00000000" w:rsidR="00000000" w:rsidRPr="00000000">
        <w:rPr>
          <w:rtl w:val="0"/>
        </w:rPr>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zastoupená: XXXXXXXX </w:t>
      </w:r>
      <w:r w:rsidDel="00000000" w:rsidR="00000000" w:rsidRPr="00000000">
        <w:rPr>
          <w:rtl w:val="0"/>
        </w:rPr>
      </w:r>
    </w:p>
    <w:p w:rsidR="00000000" w:rsidDel="00000000" w:rsidP="00000000" w:rsidRDefault="00000000" w:rsidRPr="00000000" w14:paraId="00000015">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kontaktní osoba: XXXXXXXX</w:t>
      </w:r>
      <w:r w:rsidDel="00000000" w:rsidR="00000000" w:rsidRPr="00000000">
        <w:rPr>
          <w:rFonts w:ascii="Calibri" w:cs="Calibri" w:eastAsia="Calibri" w:hAnsi="Calibri"/>
          <w:b w:val="1"/>
          <w:highlight w:val="yellow"/>
          <w:rtl w:val="0"/>
        </w:rPr>
        <w:t xml:space="preserve">, řešitel</w:t>
      </w:r>
      <w:r w:rsidDel="00000000" w:rsidR="00000000" w:rsidRPr="00000000">
        <w:rPr>
          <w:rtl w:val="0"/>
        </w:rPr>
      </w:r>
    </w:p>
    <w:p w:rsidR="00000000" w:rsidDel="00000000" w:rsidP="00000000" w:rsidRDefault="00000000" w:rsidRPr="00000000" w14:paraId="00000016">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bankovní spojení: XXXXXXXX</w:t>
      </w:r>
      <w:r w:rsidDel="00000000" w:rsidR="00000000" w:rsidRPr="00000000">
        <w:rPr>
          <w:rFonts w:ascii="Calibri" w:cs="Calibri" w:eastAsia="Calibri" w:hAnsi="Calibri"/>
          <w:b w:val="1"/>
          <w:highlight w:val="yellow"/>
          <w:rtl w:val="0"/>
        </w:rPr>
        <w:t xml:space="preserve"> - </w:t>
      </w:r>
      <w:r w:rsidDel="00000000" w:rsidR="00000000" w:rsidRPr="00000000">
        <w:rPr>
          <w:rFonts w:ascii="Calibri" w:cs="Calibri" w:eastAsia="Calibri" w:hAnsi="Calibri"/>
          <w:highlight w:val="yellow"/>
          <w:rtl w:val="0"/>
        </w:rPr>
        <w:t xml:space="preserve">XXXXXXXX</w:t>
      </w:r>
      <w:r w:rsidDel="00000000" w:rsidR="00000000" w:rsidRPr="00000000">
        <w:rPr>
          <w:rtl w:val="0"/>
        </w:rPr>
      </w:r>
    </w:p>
    <w:p w:rsidR="00000000" w:rsidDel="00000000" w:rsidP="00000000" w:rsidRDefault="00000000" w:rsidRPr="00000000" w14:paraId="00000017">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číslo účtu: XXXXXXXX</w:t>
      </w:r>
      <w:r w:rsidDel="00000000" w:rsidR="00000000" w:rsidRPr="00000000">
        <w:rPr>
          <w:rtl w:val="0"/>
        </w:rPr>
      </w:r>
    </w:p>
    <w:p w:rsidR="00000000" w:rsidDel="00000000" w:rsidP="00000000" w:rsidRDefault="00000000" w:rsidRPr="00000000" w14:paraId="00000018">
      <w:pPr>
        <w:spacing w:before="0" w:lineRule="auto"/>
        <w:rPr>
          <w:rFonts w:ascii="Calibri" w:cs="Calibri" w:eastAsia="Calibri" w:hAnsi="Calibri"/>
        </w:rPr>
      </w:pPr>
      <w:r w:rsidDel="00000000" w:rsidR="00000000" w:rsidRPr="00000000">
        <w:rPr>
          <w:rFonts w:ascii="Calibri" w:cs="Calibri" w:eastAsia="Calibri" w:hAnsi="Calibri"/>
          <w:rtl w:val="0"/>
        </w:rPr>
        <w:t xml:space="preserve">jako další účastník účelové podpory (dále jen „příjemce/další účastník“) na straně druhé</w:t>
      </w:r>
    </w:p>
    <w:p w:rsidR="00000000" w:rsidDel="00000000" w:rsidP="00000000" w:rsidRDefault="00000000" w:rsidRPr="00000000" w14:paraId="00000019">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before="360" w:lineRule="auto"/>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476800" cy="738072"/>
            <wp:effectExtent b="0" l="0" r="0" t="0"/>
            <wp:docPr id="5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76800" cy="73807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F">
      <w:pPr>
        <w:spacing w:after="60" w:lineRule="auto"/>
        <w:rPr>
          <w:rFonts w:ascii="Calibri" w:cs="Calibri" w:eastAsia="Calibri" w:hAnsi="Calibri"/>
        </w:rPr>
      </w:pPr>
      <w:r w:rsidDel="00000000" w:rsidR="00000000" w:rsidRPr="00000000">
        <w:rPr>
          <w:rFonts w:ascii="Calibri" w:cs="Calibri" w:eastAsia="Calibri" w:hAnsi="Calibri"/>
          <w:rtl w:val="0"/>
        </w:rPr>
        <w:t xml:space="preserve">Návrh projektu </w:t>
      </w:r>
      <w:r w:rsidDel="00000000" w:rsidR="00000000" w:rsidRPr="00000000">
        <w:rPr>
          <w:rFonts w:ascii="Calibri" w:cs="Calibri" w:eastAsia="Calibri" w:hAnsi="Calibri"/>
          <w:highlight w:val="yellow"/>
          <w:rtl w:val="0"/>
        </w:rPr>
        <w:t xml:space="preserve">XXXX</w:t>
      </w:r>
      <w:r w:rsidDel="00000000" w:rsidR="00000000" w:rsidRPr="00000000">
        <w:rPr>
          <w:rFonts w:ascii="Calibri" w:cs="Calibri" w:eastAsia="Calibri" w:hAnsi="Calibri"/>
          <w:rtl w:val="0"/>
        </w:rPr>
        <w:t xml:space="preserve"> s názvem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byl přijat do mezinárodní výzvy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vyhlášené konsorciem poskytovatelů v ERA-NET Cofundu / Evropském partnerství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přičemž hlavní příjemce bude financován z následujícího programu: XXX. 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60" w:lineRule="auto"/>
        <w:rPr>
          <w:rFonts w:ascii="Calibri" w:cs="Calibri" w:eastAsia="Calibri" w:hAnsi="Calibri"/>
        </w:rPr>
      </w:pPr>
      <w:r w:rsidDel="00000000" w:rsidR="00000000" w:rsidRPr="00000000">
        <w:rPr>
          <w:rFonts w:ascii="Calibri" w:cs="Calibri" w:eastAsia="Calibri" w:hAnsi="Calibri"/>
          <w:rtl w:val="0"/>
        </w:rPr>
        <w:t xml:space="preserve">V souladu s § 9 ZPVV se proto vydává toto Rozhodnutí. Veškeré pojmy použité v Rozhodnutí jsou definovány ve Všeobecných podmínkách.</w:t>
      </w:r>
    </w:p>
    <w:p w:rsidR="00000000" w:rsidDel="00000000" w:rsidP="00000000" w:rsidRDefault="00000000" w:rsidRPr="00000000" w14:paraId="00000021">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2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rozhodnutí</w:t>
      </w:r>
      <w:r w:rsidDel="00000000" w:rsidR="00000000" w:rsidRPr="00000000">
        <w:rPr>
          <w:rtl w:val="0"/>
        </w:rPr>
      </w:r>
    </w:p>
    <w:p w:rsidR="00000000" w:rsidDel="00000000" w:rsidP="00000000" w:rsidRDefault="00000000" w:rsidRPr="00000000" w14:paraId="00000024">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p>
    <w:p w:rsidR="00000000" w:rsidDel="00000000" w:rsidP="00000000" w:rsidRDefault="00000000" w:rsidRPr="00000000" w14:paraId="00000025">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 </w:t>
      </w:r>
    </w:p>
    <w:p w:rsidR="00000000" w:rsidDel="00000000" w:rsidP="00000000" w:rsidRDefault="00000000" w:rsidRPr="00000000" w14:paraId="00000026">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Podpora bude poskytnuta formou zvýšení výdajů organizační složky státu, která je příjemcem, ve smyslu § 4 odst. 1 ZPVV.</w:t>
      </w:r>
    </w:p>
    <w:p w:rsidR="00000000" w:rsidDel="00000000" w:rsidP="00000000" w:rsidRDefault="00000000" w:rsidRPr="00000000" w14:paraId="00000027">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2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29">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A">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p>
    <w:p w:rsidR="00000000" w:rsidDel="00000000" w:rsidP="00000000" w:rsidRDefault="00000000" w:rsidRPr="00000000" w14:paraId="0000002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C">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D">
      <w:pPr>
        <w:numPr>
          <w:ilvl w:val="0"/>
          <w:numId w:val="2"/>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w:t>
      </w:r>
    </w:p>
    <w:p w:rsidR="00000000" w:rsidDel="00000000" w:rsidP="00000000" w:rsidRDefault="00000000" w:rsidRPr="00000000" w14:paraId="0000002E">
      <w:pPr>
        <w:numPr>
          <w:ilvl w:val="0"/>
          <w:numId w:val="2"/>
        </w:numPr>
        <w:tabs>
          <w:tab w:val="left" w:leader="none" w:pos="567"/>
          <w:tab w:val="left" w:leader="none" w:pos="709"/>
        </w:tabs>
        <w:ind w:left="357" w:hanging="357"/>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F">
      <w:pPr>
        <w:numPr>
          <w:ilvl w:val="0"/>
          <w:numId w:val="2"/>
        </w:numPr>
        <w:tabs>
          <w:tab w:val="left" w:leader="none" w:pos="567"/>
          <w:tab w:val="left" w:leader="none" w:pos="709"/>
        </w:tabs>
        <w:ind w:left="357" w:hanging="357"/>
        <w:rPr>
          <w:rFonts w:ascii="Calibri" w:cs="Calibri" w:eastAsia="Calibri" w:hAnsi="Calibri"/>
        </w:rPr>
      </w:pPr>
      <w:r w:rsidDel="00000000" w:rsidR="00000000" w:rsidRPr="00000000">
        <w:rPr>
          <w:rFonts w:ascii="Calibri" w:cs="Calibri" w:eastAsia="Calibri" w:hAnsi="Calibri"/>
          <w:rtl w:val="0"/>
        </w:rPr>
        <w:t xml:space="preserve">Obsahuje-li Rozhodnutí úpravu odlišnou od Všeobecných podmínek či Závazných parametrů řešení projektu, použijí se přednostně ustanovení Rozhodnutí, dále ustanovení Všeobecných podmínek a dále Závazných parametrů řešení projektu.</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bookmark=id.gjdgxs" w:id="3"/>
    <w:bookmarkEnd w:id="3"/>
    <w:p w:rsidR="00000000" w:rsidDel="00000000" w:rsidP="00000000" w:rsidRDefault="00000000" w:rsidRPr="00000000" w14:paraId="0000003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33">
      <w:pPr>
        <w:numPr>
          <w:ilvl w:val="0"/>
          <w:numId w:val="1"/>
        </w:numPr>
        <w:spacing w:before="24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12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Článek 2 Všeobecných podmínek „Vymezení pojmů“ se doplňuje o tyto pojmy:</w:t>
      </w:r>
    </w:p>
    <w:p w:rsidR="00000000" w:rsidDel="00000000" w:rsidP="00000000" w:rsidRDefault="00000000" w:rsidRPr="00000000" w14:paraId="00000037">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8">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9">
      <w:pPr>
        <w:numPr>
          <w:ilvl w:val="0"/>
          <w:numId w:val="1"/>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A">
      <w:pPr>
        <w:numPr>
          <w:ilvl w:val="0"/>
          <w:numId w:val="1"/>
        </w:numPr>
        <w:ind w:left="425" w:hanging="425"/>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Čl. 11 Všeobecných podmínek se doplňuje o nový odst. 5, který zní:</w:t>
      </w:r>
    </w:p>
    <w:p w:rsidR="00000000" w:rsidDel="00000000" w:rsidP="00000000" w:rsidRDefault="00000000" w:rsidRPr="00000000" w14:paraId="0000003B">
      <w:pPr>
        <w:ind w:left="850.3937007874017" w:firstLine="0"/>
        <w:rPr>
          <w:rFonts w:ascii="Calibri" w:cs="Calibri" w:eastAsia="Calibri" w:hAnsi="Calibri"/>
        </w:rPr>
      </w:pPr>
      <w:bookmarkStart w:colFirst="0" w:colLast="0" w:name="_heading=h.c3pc2xfm74uy" w:id="4"/>
      <w:bookmarkEnd w:id="4"/>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425" w:hanging="425"/>
        <w:rPr>
          <w:rFonts w:ascii="Calibri" w:cs="Calibri" w:eastAsia="Calibri" w:hAnsi="Calibri"/>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00000" w:rsidDel="00000000" w:rsidP="00000000" w:rsidRDefault="00000000" w:rsidRPr="00000000" w14:paraId="0000003D">
      <w:pPr>
        <w:numPr>
          <w:ilvl w:val="0"/>
          <w:numId w:val="1"/>
        </w:numPr>
        <w:ind w:left="425" w:hanging="425"/>
        <w:rPr/>
      </w:pPr>
      <w:r w:rsidDel="00000000" w:rsidR="00000000" w:rsidRPr="00000000">
        <w:rPr>
          <w:rFonts w:ascii="Calibri" w:cs="Calibri" w:eastAsia="Calibri" w:hAnsi="Calibri"/>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3E">
      <w:pPr>
        <w:ind w:left="0" w:right="566" w:firstLine="850.3937007874017"/>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 17 Všeobecných podmínek se doplňuje o nový odst. 11, který zní:</w:t>
      </w:r>
    </w:p>
    <w:p w:rsidR="00000000" w:rsidDel="00000000" w:rsidP="00000000" w:rsidRDefault="00000000" w:rsidRPr="00000000" w14:paraId="00000040">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41">
      <w:pPr>
        <w:numPr>
          <w:ilvl w:val="0"/>
          <w:numId w:val="1"/>
        </w:numPr>
        <w:ind w:left="425"/>
      </w:pPr>
      <w:r w:rsidDel="00000000" w:rsidR="00000000" w:rsidRPr="00000000">
        <w:rPr>
          <w:rFonts w:ascii="Calibri" w:cs="Calibri" w:eastAsia="Calibri" w:hAnsi="Calibri"/>
          <w:b w:val="1"/>
          <w:color w:val="ff0000"/>
          <w:rtl w:val="0"/>
        </w:rPr>
        <w:t xml:space="preserve">Čl. 17 Všeobecných podmínek se doplňuje o nový odst. 12, který zní:</w:t>
      </w:r>
      <w:r w:rsidDel="00000000" w:rsidR="00000000" w:rsidRPr="00000000">
        <w:rPr>
          <w:rtl w:val="0"/>
        </w:rPr>
      </w:r>
    </w:p>
    <w:p w:rsidR="00000000" w:rsidDel="00000000" w:rsidP="00000000" w:rsidRDefault="00000000" w:rsidRPr="00000000" w14:paraId="00000042">
      <w:pPr>
        <w:spacing w:line="360" w:lineRule="auto"/>
        <w:ind w:left="850" w:right="566" w:firstLine="0"/>
        <w:rPr>
          <w:rFonts w:ascii="Calibri" w:cs="Calibri" w:eastAsia="Calibri" w:hAnsi="Calibri"/>
        </w:rPr>
      </w:pPr>
      <w:r w:rsidDel="00000000" w:rsidR="00000000" w:rsidRPr="00000000">
        <w:rPr>
          <w:rFonts w:ascii="Calibri" w:cs="Calibri" w:eastAsia="Calibri" w:hAnsi="Calibri"/>
          <w:b w:val="1"/>
          <w:color w:val="ff0000"/>
          <w:rtl w:val="0"/>
        </w:rPr>
        <w:t xml:space="preserve">„Náklady se zdanitelným plněním po 30. 6. 2026 nebudou považovány za uznané.“</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p>
    <w:p w:rsidR="00000000" w:rsidDel="00000000" w:rsidP="00000000" w:rsidRDefault="00000000" w:rsidRPr="00000000" w14:paraId="00000044">
      <w:pPr>
        <w:numPr>
          <w:ilvl w:val="0"/>
          <w:numId w:val="6"/>
        </w:numPr>
        <w:spacing w:after="0"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do 60 kalendářních dnů ode dne nabytí účinnosti smlouvy a</w:t>
      </w:r>
      <w:r w:rsidDel="00000000" w:rsidR="00000000" w:rsidRPr="00000000">
        <w:rPr>
          <w:rtl w:val="0"/>
        </w:rPr>
      </w:r>
    </w:p>
    <w:p w:rsidR="00000000" w:rsidDel="00000000" w:rsidP="00000000" w:rsidRDefault="00000000" w:rsidRPr="00000000" w14:paraId="00000045">
      <w:pPr>
        <w:numPr>
          <w:ilvl w:val="0"/>
          <w:numId w:val="6"/>
        </w:numPr>
        <w:spacing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r w:rsidDel="00000000" w:rsidR="00000000" w:rsidRPr="00000000">
        <w:rPr>
          <w:rtl w:val="0"/>
        </w:rPr>
      </w:r>
    </w:p>
    <w:p w:rsidR="00000000" w:rsidDel="00000000" w:rsidP="00000000" w:rsidRDefault="00000000" w:rsidRPr="00000000" w14:paraId="00000046">
      <w:pPr>
        <w:numPr>
          <w:ilvl w:val="0"/>
          <w:numId w:val="1"/>
        </w:numPr>
        <w:ind w:left="425" w:right="-180" w:hanging="425"/>
        <w:rPr/>
      </w:pPr>
      <w:r w:rsidDel="00000000" w:rsidR="00000000" w:rsidRPr="00000000">
        <w:rPr>
          <w:rFonts w:ascii="Calibri" w:cs="Calibri" w:eastAsia="Calibri" w:hAnsi="Calibri"/>
          <w:rtl w:val="0"/>
        </w:rPr>
        <w:t xml:space="preserve">Nad rámec Všeobecných podmínek je příjemce povinen dodržovat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u w:val="none"/>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8">
      <w:pPr>
        <w:spacing w:after="240" w:before="240" w:lineRule="auto"/>
        <w:ind w:left="860" w:right="-180"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9">
      <w:pPr>
        <w:numPr>
          <w:ilvl w:val="0"/>
          <w:numId w:val="1"/>
        </w:numPr>
        <w:ind w:left="425" w:right="-180"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A">
      <w:pPr>
        <w:numPr>
          <w:ilvl w:val="0"/>
          <w:numId w:val="1"/>
        </w:numPr>
        <w:ind w:left="425" w:right="-180"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B">
      <w:pPr>
        <w:ind w:left="860" w:right="-180"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0" w:lineRule="auto"/>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5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52">
      <w:pPr>
        <w:numPr>
          <w:ilvl w:val="0"/>
          <w:numId w:val="7"/>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w:t>
      </w:r>
      <w:r w:rsidDel="00000000" w:rsidR="00000000" w:rsidRPr="00000000">
        <w:rPr>
          <w:rFonts w:ascii="Calibri" w:cs="Calibri" w:eastAsia="Calibri" w:hAnsi="Calibri"/>
          <w:highlight w:val="yellow"/>
          <w:rtl w:val="0"/>
        </w:rPr>
        <w:t xml:space="preserve">nabývá právní moci a vykonatelnosti dnem</w:t>
      </w:r>
      <w:r w:rsidDel="00000000" w:rsidR="00000000" w:rsidRPr="00000000">
        <w:rPr>
          <w:rFonts w:ascii="Calibri" w:cs="Calibri" w:eastAsia="Calibri" w:hAnsi="Calibri"/>
          <w:rtl w:val="0"/>
        </w:rPr>
        <w:t xml:space="preserve"> jeho doručení příjemci.</w:t>
      </w:r>
    </w:p>
    <w:p w:rsidR="00000000" w:rsidDel="00000000" w:rsidP="00000000" w:rsidRDefault="00000000" w:rsidRPr="00000000" w14:paraId="00000053">
      <w:pPr>
        <w:numPr>
          <w:ilvl w:val="0"/>
          <w:numId w:val="7"/>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se vydává na dobu určitou, a to do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6"/>
          <w:numId w:val="3"/>
        </w:numPr>
        <w:spacing w:before="0" w:line="240" w:lineRule="auto"/>
        <w:ind w:left="5040" w:firstLine="147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7">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58">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9">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5A">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bl>
    <w:bookmarkStart w:colFirst="0" w:colLast="0" w:name="bookmark=id.30j0zll" w:id="5"/>
    <w:bookmarkEnd w:id="5"/>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rFonts w:ascii="Calibri" w:cs="Calibri" w:eastAsia="Calibri" w:hAnsi="Calibri"/>
        <w:sz w:val="16"/>
        <w:szCs w:val="16"/>
      </w:rPr>
    </w:pPr>
    <w:bookmarkStart w:colFirst="0" w:colLast="0" w:name="_heading=h.1fob9te" w:id="6"/>
    <w:bookmarkEnd w:id="6"/>
    <w:r w:rsidDel="00000000" w:rsidR="00000000" w:rsidRPr="00000000">
      <w:rPr>
        <w:rFonts w:ascii="Calibri" w:cs="Calibri" w:eastAsia="Calibri" w:hAnsi="Calibri"/>
        <w:sz w:val="16"/>
        <w:szCs w:val="16"/>
        <w:rtl w:val="0"/>
      </w:rPr>
      <w:t xml:space="preserve">F-353, verze 3</w:t>
      <w:tab/>
      <w:t xml:space="preserve">Strana</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sz w:val="16"/>
        <w:szCs w:val="16"/>
        <w:rtl w:val="0"/>
      </w:rPr>
      <w:tab/>
    </w:r>
    <w:r w:rsidDel="00000000" w:rsidR="00000000" w:rsidRPr="00000000">
      <w:rPr>
        <w:rFonts w:ascii="Calibri" w:cs="Calibri" w:eastAsia="Calibri" w:hAnsi="Calibri"/>
        <w:sz w:val="16"/>
        <w:szCs w:val="16"/>
        <w:rtl w:val="0"/>
      </w:rPr>
      <w:t xml:space="preserve">Veřejný</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536"/>
        <w:tab w:val="right" w:leader="none" w:pos="9072"/>
      </w:tabs>
      <w:spacing w:before="1134" w:line="240" w:lineRule="auto"/>
      <w:jc w:val="right"/>
      <w:rPr>
        <w:rFonts w:ascii="Calibri" w:cs="Calibri" w:eastAsia="Calibri" w:hAnsi="Calibri"/>
      </w:rPr>
    </w:pPr>
    <w:r w:rsidDel="00000000" w:rsidR="00000000" w:rsidRPr="00000000">
      <w:rPr>
        <w:rFonts w:ascii="Calibri" w:cs="Calibri" w:eastAsia="Calibri" w:hAnsi="Calibri"/>
        <w:b w:val="1"/>
        <w:sz w:val="16"/>
        <w:szCs w:val="16"/>
        <w:rtl w:val="0"/>
      </w:rPr>
      <w:t xml:space="preserve">Rozhodnutí</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-892168</wp:posOffset>
          </wp:positionH>
          <wp:positionV relativeFrom="paragraph">
            <wp:posOffset>-441955</wp:posOffset>
          </wp:positionV>
          <wp:extent cx="1439545" cy="1439545"/>
          <wp:effectExtent b="0" l="0" r="0" t="0"/>
          <wp:wrapNone/>
          <wp:docPr id="5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5F">
    <w:pPr>
      <w:tabs>
        <w:tab w:val="center" w:leader="none" w:pos="4536"/>
        <w:tab w:val="right" w:leader="none" w:pos="9072"/>
      </w:tabs>
      <w:spacing w:before="0" w:line="240" w:lineRule="auto"/>
      <w:jc w:val="right"/>
      <w:rPr>
        <w:rFonts w:ascii="Calibri" w:cs="Calibri" w:eastAsia="Calibri" w:hAnsi="Calibri"/>
        <w:b w:val="1"/>
        <w:sz w:val="16"/>
        <w:szCs w:val="16"/>
        <w:highlight w:val="yellow"/>
      </w:rPr>
    </w:pPr>
    <w:r w:rsidDel="00000000" w:rsidR="00000000" w:rsidRPr="00000000">
      <w:rPr>
        <w:rFonts w:ascii="Calibri" w:cs="Calibri" w:eastAsia="Calibri" w:hAnsi="Calibri"/>
        <w:b w:val="1"/>
        <w:sz w:val="16"/>
        <w:szCs w:val="16"/>
        <w:rtl w:val="0"/>
      </w:rPr>
      <w:t xml:space="preserve">Číslo rozhodnutí: 20</w:t>
    </w:r>
    <w:r w:rsidDel="00000000" w:rsidR="00000000" w:rsidRPr="00000000">
      <w:rPr>
        <w:rFonts w:ascii="Calibri" w:cs="Calibri" w:eastAsia="Calibri" w:hAnsi="Calibri"/>
        <w:b w:val="1"/>
        <w:sz w:val="16"/>
        <w:szCs w:val="16"/>
        <w:highlight w:val="yellow"/>
        <w:rtl w:val="0"/>
      </w:rPr>
      <w:t xml:space="preserve">XXxxxx</w:t>
    </w:r>
  </w:p>
  <w:p w:rsidR="00000000" w:rsidDel="00000000" w:rsidP="00000000" w:rsidRDefault="00000000" w:rsidRPr="00000000" w14:paraId="00000060">
    <w:pPr>
      <w:tabs>
        <w:tab w:val="center" w:leader="none" w:pos="4536"/>
        <w:tab w:val="right" w:leader="none" w:pos="9072"/>
      </w:tabs>
      <w:spacing w:before="0" w:line="240" w:lineRule="auto"/>
      <w:jc w:val="right"/>
      <w:rPr>
        <w:rFonts w:ascii="Calibri" w:cs="Calibri" w:eastAsia="Calibri" w:hAnsi="Calibri"/>
        <w:b w:val="1"/>
        <w:sz w:val="16"/>
        <w:szCs w:val="16"/>
        <w:highlight w:val="yellow"/>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360" w:firstLine="1080"/>
      </w:pPr>
      <w:rPr>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5">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E12F54"/>
    <w:rPr>
      <w:color w:val="000000"/>
    </w:rPr>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Zkladntext">
    <w:name w:val="Body Text"/>
    <w:basedOn w:val="Normln"/>
    <w:link w:val="ZkladntextChar"/>
    <w:uiPriority w:val="99"/>
    <w:semiHidden w:val="1"/>
    <w:unhideWhenUsed w:val="1"/>
    <w:rsid w:val="00E12F54"/>
    <w:pPr>
      <w:autoSpaceDE w:val="0"/>
      <w:autoSpaceDN w:val="0"/>
      <w:adjustRightInd w:val="0"/>
      <w:spacing w:after="120"/>
    </w:pPr>
    <w:rPr>
      <w:rFonts w:eastAsiaTheme="minorHAnsi"/>
      <w:lang w:eastAsia="en-US"/>
    </w:rPr>
  </w:style>
  <w:style w:type="character" w:styleId="ZkladntextChar" w:customStyle="1">
    <w:name w:val="Základní text Char"/>
    <w:basedOn w:val="Standardnpsmoodstavce"/>
    <w:link w:val="Zkladntext"/>
    <w:uiPriority w:val="99"/>
    <w:semiHidden w:val="1"/>
    <w:rsid w:val="00E12F54"/>
    <w:rPr>
      <w:rFonts w:ascii="Cambria" w:cs="Cambria" w:hAnsi="Cambria"/>
      <w:color w:val="000000"/>
    </w:rPr>
  </w:style>
  <w:style w:type="paragraph" w:styleId="Zhlav">
    <w:name w:val="header"/>
    <w:basedOn w:val="Normln"/>
    <w:link w:val="ZhlavChar"/>
    <w:uiPriority w:val="99"/>
    <w:unhideWhenUsed w:val="1"/>
    <w:rsid w:val="0093307C"/>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93307C"/>
    <w:rPr>
      <w:rFonts w:ascii="Cambria" w:cs="Cambria" w:eastAsia="Cambria" w:hAnsi="Cambria"/>
      <w:color w:val="000000"/>
      <w:lang w:eastAsia="cs-CZ"/>
    </w:rPr>
  </w:style>
  <w:style w:type="paragraph" w:styleId="Zpat">
    <w:name w:val="footer"/>
    <w:basedOn w:val="Normln"/>
    <w:link w:val="ZpatChar"/>
    <w:uiPriority w:val="99"/>
    <w:unhideWhenUsed w:val="1"/>
    <w:rsid w:val="0093307C"/>
    <w:pPr>
      <w:tabs>
        <w:tab w:val="center" w:pos="4536"/>
        <w:tab w:val="right" w:pos="9072"/>
      </w:tabs>
      <w:spacing w:before="0" w:line="240" w:lineRule="auto"/>
    </w:pPr>
  </w:style>
  <w:style w:type="character" w:styleId="ZpatChar" w:customStyle="1">
    <w:name w:val="Zápatí Char"/>
    <w:basedOn w:val="Standardnpsmoodstavce"/>
    <w:link w:val="Zpat"/>
    <w:uiPriority w:val="99"/>
    <w:rsid w:val="0093307C"/>
    <w:rPr>
      <w:rFonts w:ascii="Cambria" w:cs="Cambria" w:eastAsia="Cambria" w:hAnsi="Cambria"/>
      <w:color w:val="000000"/>
      <w:lang w:eastAsia="cs-CZ"/>
    </w:rPr>
  </w:style>
  <w:style w:type="paragraph" w:styleId="Zpat1" w:customStyle="1">
    <w:name w:val="Zápatí1"/>
    <w:basedOn w:val="Zpat"/>
    <w:qFormat w:val="1"/>
    <w:rsid w:val="0093307C"/>
    <w:pPr>
      <w:autoSpaceDE w:val="0"/>
      <w:autoSpaceDN w:val="0"/>
      <w:adjustRightInd w:val="0"/>
      <w:jc w:val="right"/>
      <w:textAlignment w:val="center"/>
    </w:pPr>
    <w:rPr>
      <w:rFonts w:eastAsiaTheme="minorHAnsi"/>
      <w:noProof w:val="1"/>
      <w:sz w:val="16"/>
    </w:rPr>
  </w:style>
  <w:style w:type="paragraph" w:styleId="Odstavecseseznamem">
    <w:name w:val="List Paragraph"/>
    <w:basedOn w:val="Normln"/>
    <w:uiPriority w:val="34"/>
    <w:qFormat w:val="1"/>
    <w:rsid w:val="003518C6"/>
    <w:pPr>
      <w:ind w:left="720"/>
      <w:contextualSpacing w:val="1"/>
    </w:p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vZTmDJvSOXPYUk6JymofSXUg6w==">AMUW2mVwW3jpMks0CIdr7rhUPr6dXoXs0cLheDqIGptgQg+b4+qD548wYoYMGUgK74txH9jfZVM1m7+mYtpF5X/Gl8tygThPfrVyy/uh5QheyZAOUo31kr2CW8YHbPAic6U7Hdoc8WQnJsc787MxfGY2jDxh7OHv+Ne61DFyEV8NbX1YGawfTOc9GmBRLHy0VkusbdObTlX8+on+wd/W10dr8+I9uduPYdk6cO/Wncap5XsXWpF3TGseX1uvfoF+IOi3L/oByfyW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2019-12-15T15:20:00Z</dcterms:created>
  <dc:creator>Michaela Kaňová</dc:creator>
</cp:coreProperties>
</file>